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dokonać kontroli kosztów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się, dlaczego kontrola kosztów w firmie jest istotna.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kosztów w firmie jako klucz do zrównoważonego rozwoju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kosztów</w:t>
      </w:r>
      <w:r>
        <w:rPr>
          <w:rFonts w:ascii="calibri" w:hAnsi="calibri" w:eastAsia="calibri" w:cs="calibri"/>
          <w:sz w:val="24"/>
          <w:szCs w:val="24"/>
        </w:rPr>
        <w:t xml:space="preserve"> to kluczowy element zrównoważonego rozwoju każdej firmy. Optymalne zarządzanie finansami ma istotny wpływ nie tylko na bieżącą rentowność, ale także na długofalową stabilność organizacji. Przepływ pieniężny kształtuje stabilność i pewność w firmie. Dlatego nawet pozornie najmniejsze wydatki, mogą w dłuższej perspektywie sprawić, że firma znacznie poprawi swoją kondycję finansową poprzez ograniczenie drobnych kosztów.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procesów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systematycznej kontroli wydatków umożliwia identyfikację obszarów, w których można zoptymalizować wydatki. Analiza procesów biznesowych pozwala na eliminację redundancji i poprawę efektywności, co przekłada się na realne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Systematyczne monitorowanie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kosztów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rzetelną ocenę rentowności przedsięwzięć. Firmy mogą skoncentrować swoje zasoby na projektach, które przynoszą największy zwrot, jednocześnie unikając inwestycji o niskiej efektywności.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kosztów jako element strategii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kontroli jako kluczowego elementu strategii biznesowej przyczynia się do zwiększenia konkurencyjności firmy. Elastyczność w zarządzaniu finansami pozwala dostosowywać się do zmieniających się warunków rynkowych, co jest kluczowe w dzisiejszym dynamicznym środowisku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Kontrola kosztów</w:t>
      </w:r>
      <w:r>
        <w:rPr>
          <w:rFonts w:ascii="calibri" w:hAnsi="calibri" w:eastAsia="calibri" w:cs="calibri"/>
          <w:sz w:val="24"/>
          <w:szCs w:val="24"/>
        </w:rPr>
        <w:t xml:space="preserve"> nie tylko wspiera stabilność finansową firmy, ale również kształtuje jej długofalowy rozwój. Firmy, które skutecznie zarządzają kosztami, tworzą solidne fundamenty dla sukcesu biznesowego, umożliwiając efektywne alokowanie zasobów i adaptację do dynamicznie zmieniającego się otoczenia rynkowego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nf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2026-03-12T17:02:02+01:00</dcterms:created>
  <dcterms:modified xsi:type="dcterms:W3CDTF">2026-03-12T17:02:02+01:00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